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77" w:rsidRDefault="002B48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48F7">
        <w:rPr>
          <w:rFonts w:ascii="Times New Roman" w:hAnsi="Times New Roman" w:cs="Times New Roman"/>
          <w:b/>
          <w:bCs/>
          <w:sz w:val="24"/>
          <w:szCs w:val="24"/>
        </w:rPr>
        <w:t xml:space="preserve">Point by Point Responses to </w:t>
      </w:r>
      <w:r w:rsidR="003A297C">
        <w:rPr>
          <w:rFonts w:ascii="Times New Roman" w:hAnsi="Times New Roman" w:cs="Times New Roman"/>
          <w:b/>
          <w:bCs/>
          <w:sz w:val="24"/>
          <w:szCs w:val="24"/>
        </w:rPr>
        <w:t>Editor</w:t>
      </w:r>
      <w:r w:rsidRPr="002B4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DAE" w:rsidRPr="002B48F7">
        <w:rPr>
          <w:rFonts w:ascii="Times New Roman" w:hAnsi="Times New Roman" w:cs="Times New Roman"/>
          <w:b/>
          <w:bCs/>
          <w:sz w:val="24"/>
          <w:szCs w:val="24"/>
        </w:rPr>
        <w:t>Comments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3466"/>
        <w:gridCol w:w="5598"/>
      </w:tblGrid>
      <w:tr w:rsidR="002B48F7" w:rsidRPr="009E5AB6" w:rsidTr="002C3676">
        <w:tc>
          <w:tcPr>
            <w:tcW w:w="512" w:type="dxa"/>
          </w:tcPr>
          <w:p w:rsidR="002B48F7" w:rsidRPr="009E5AB6" w:rsidRDefault="002B48F7" w:rsidP="009E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B6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</w:tc>
        <w:tc>
          <w:tcPr>
            <w:tcW w:w="3466" w:type="dxa"/>
          </w:tcPr>
          <w:p w:rsidR="002B48F7" w:rsidRPr="009E5AB6" w:rsidRDefault="0086562B" w:rsidP="009E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Editor </w:t>
            </w:r>
            <w:r w:rsidR="000E5C41" w:rsidRPr="009E5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5598" w:type="dxa"/>
          </w:tcPr>
          <w:p w:rsidR="002B48F7" w:rsidRPr="009E5AB6" w:rsidRDefault="002B48F7" w:rsidP="009E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Response(s) from author</w:t>
            </w:r>
          </w:p>
        </w:tc>
      </w:tr>
      <w:tr w:rsidR="00A80790" w:rsidRPr="009E5AB6" w:rsidTr="00AA7D6F">
        <w:tc>
          <w:tcPr>
            <w:tcW w:w="512" w:type="dxa"/>
            <w:vMerge w:val="restart"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4" w:type="dxa"/>
            <w:gridSpan w:val="2"/>
          </w:tcPr>
          <w:p w:rsidR="00A80790" w:rsidRPr="009E5AB6" w:rsidRDefault="00A80790" w:rsidP="00A807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Major: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9E5AB6" w:rsidRDefault="00A80790" w:rsidP="00752E2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It is </w:t>
            </w:r>
            <w:proofErr w:type="spell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nor</w:t>
            </w:r>
            <w:proofErr w:type="spell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clear if they have designed or adopted the questionnaire that they have used. If they have developed questionnaire they n</w:t>
            </w:r>
            <w:r w:rsidR="00752E20">
              <w:rPr>
                <w:rFonts w:ascii="Times New Roman" w:eastAsia="Times New Roman" w:hAnsi="Times New Roman" w:cs="Times New Roman"/>
                <w:sz w:val="24"/>
                <w:szCs w:val="24"/>
              </w:rPr>
              <w:t>eed to attach it to the article</w:t>
            </w:r>
          </w:p>
        </w:tc>
        <w:tc>
          <w:tcPr>
            <w:tcW w:w="5598" w:type="dxa"/>
          </w:tcPr>
          <w:p w:rsidR="00382FD9" w:rsidRDefault="00382FD9" w:rsidP="00A15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have designed questionnaire for conducting the study. </w:t>
            </w:r>
          </w:p>
          <w:p w:rsidR="00382FD9" w:rsidRDefault="00382FD9" w:rsidP="00A15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90" w:rsidRPr="009E5AB6" w:rsidRDefault="00382FD9" w:rsidP="00A15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questionnaire has been attached with the revised manuscript.  </w:t>
            </w:r>
            <w:r w:rsidR="00A8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Since answers were </w:t>
            </w:r>
            <w:proofErr w:type="spell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self reported</w:t>
            </w:r>
            <w:proofErr w:type="spell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, did authors ascertain the answers given by children?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A80790" w:rsidRPr="009E5AB6" w:rsidRDefault="00382FD9" w:rsidP="00752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ensuring the accuracy of the data set, 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steps measure had been perfor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 xml:space="preserve">med. During the data collection, interviewers checked the questionnaires, after then,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co-investigators 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 xml:space="preserve">critically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checked 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 xml:space="preserve"> data set.</w:t>
            </w:r>
            <w:r w:rsidR="00752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>Whenever, anomalies in the respondents answer identified, we tried to solve the problem by contacting with the respondents</w:t>
            </w:r>
            <w:r w:rsidR="009A4FC0">
              <w:rPr>
                <w:rFonts w:ascii="Times New Roman" w:hAnsi="Times New Roman" w:cs="Times New Roman"/>
                <w:sz w:val="24"/>
                <w:szCs w:val="24"/>
              </w:rPr>
              <w:t xml:space="preserve"> further</w:t>
            </w:r>
            <w:r w:rsidR="0003493D">
              <w:rPr>
                <w:rFonts w:ascii="Times New Roman" w:hAnsi="Times New Roman" w:cs="Times New Roman"/>
                <w:sz w:val="24"/>
                <w:szCs w:val="24"/>
              </w:rPr>
              <w:t xml:space="preserve">. The data had been omitted for analysis those were not possible to recover.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Overweight must </w:t>
            </w:r>
            <w:proofErr w:type="spell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included</w:t>
            </w:r>
            <w:proofErr w:type="spell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into other category, since 0 in some of the cells make the analysis non valid, and redo the analysis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A80790" w:rsidRPr="009E5AB6" w:rsidRDefault="009A4FC0" w:rsidP="00752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analysis of the present </w:t>
            </w:r>
            <w:r w:rsidR="00917634">
              <w:rPr>
                <w:rFonts w:ascii="Times New Roman" w:hAnsi="Times New Roman" w:cs="Times New Roman"/>
                <w:sz w:val="24"/>
                <w:szCs w:val="24"/>
              </w:rPr>
              <w:t xml:space="preserve">revised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manuscript has been performed newly according to you</w:t>
            </w:r>
            <w:r w:rsidR="00752E20">
              <w:rPr>
                <w:rFonts w:ascii="Times New Roman" w:hAnsi="Times New Roman" w:cs="Times New Roman"/>
                <w:sz w:val="24"/>
                <w:szCs w:val="24"/>
              </w:rPr>
              <w:t>r informative suggestions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4) BMI classification in children should be done according to percentiles, not the number cutoffs. Use WHO scale (http://www.who.int/growthref/en/), or CDC scale (https://www.cdc.gov/healthyweight/assessing/bmi/childrens_bmi/about_childrens_bmi.html)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752E20" w:rsidRDefault="00752E20" w:rsidP="00752E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90" w:rsidRPr="009E5AB6" w:rsidRDefault="00752E20" w:rsidP="00752E2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Following the guidelines provided by the CDC, we measured </w:t>
            </w:r>
            <w:r w:rsidRPr="00752E20">
              <w:rPr>
                <w:rFonts w:ascii="Times New Roman" w:hAnsi="Times New Roman" w:cs="Times New Roman"/>
                <w:sz w:val="24"/>
                <w:szCs w:val="24"/>
              </w:rPr>
              <w:t xml:space="preserve">BMI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52E20">
              <w:rPr>
                <w:rFonts w:ascii="Times New Roman" w:hAnsi="Times New Roman" w:cs="Times New Roman"/>
                <w:sz w:val="24"/>
                <w:szCs w:val="24"/>
              </w:rPr>
              <w:t xml:space="preserve">ercentile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52E20">
              <w:rPr>
                <w:rFonts w:ascii="Times New Roman" w:hAnsi="Times New Roman" w:cs="Times New Roman"/>
                <w:sz w:val="24"/>
                <w:szCs w:val="24"/>
              </w:rPr>
              <w:t>ategories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performed the analysis newly. 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Ones serious limitation of this study is that </w:t>
            </w:r>
            <w:proofErr w:type="gram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authors</w:t>
            </w:r>
            <w:proofErr w:type="gram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convenience sample, and conclusions must be regarding this sample, and not overextend into the population. The article would benefit if the differences between this particular sample (</w:t>
            </w:r>
            <w:proofErr w:type="spell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Jahangirnagar</w:t>
            </w:r>
            <w:proofErr w:type="spell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</w:t>
            </w: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School) and general school age population will be discussed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</w:tcPr>
          <w:p w:rsidR="00A80790" w:rsidRDefault="00752E20" w:rsidP="0089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Taking the s</w:t>
            </w:r>
            <w:r w:rsidR="00890A93">
              <w:rPr>
                <w:rFonts w:ascii="Times New Roman" w:hAnsi="Times New Roman" w:cs="Times New Roman"/>
                <w:sz w:val="24"/>
                <w:szCs w:val="24"/>
              </w:rPr>
              <w:t xml:space="preserve">uggestions, we have changed ungrounded sentences.  </w:t>
            </w:r>
          </w:p>
          <w:p w:rsidR="00890A93" w:rsidRDefault="00890A93" w:rsidP="0089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93" w:rsidRPr="009E5AB6" w:rsidRDefault="00890A93" w:rsidP="00890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spite of the paucity of nutritional information of general school age children in Bangladesh, we tried to address the differences among the existing findings related to this study. 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9E5A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hAnsi="Times New Roman" w:cs="Times New Roman"/>
                <w:b/>
                <w:sz w:val="24"/>
                <w:szCs w:val="24"/>
              </w:rPr>
              <w:t>Minor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8" w:type="dxa"/>
          </w:tcPr>
          <w:p w:rsidR="00A80790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9E5AB6" w:rsidRDefault="00A80790" w:rsidP="00F01D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1) Sentence "</w:t>
            </w:r>
            <w:r w:rsidRPr="000E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Modernization has led to </w:t>
            </w:r>
            <w:r w:rsidR="0094508C" w:rsidRPr="000E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these countries which is characterized by a shift to higher caloric consumption and decreased physical activity" contradicts the rest of the background </w:t>
            </w:r>
          </w:p>
        </w:tc>
        <w:tc>
          <w:tcPr>
            <w:tcW w:w="5598" w:type="dxa"/>
          </w:tcPr>
          <w:p w:rsidR="00A80790" w:rsidRPr="009E5AB6" w:rsidRDefault="0094508C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D75">
              <w:rPr>
                <w:rFonts w:ascii="Times New Roman" w:hAnsi="Times New Roman" w:cs="Times New Roman"/>
                <w:sz w:val="24"/>
                <w:szCs w:val="24"/>
              </w:rPr>
              <w:t>Now this sentence is correct with the new analysis, findings and background study in the revised manuscript.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2) More background on hygienic practices should be given in the introduction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A80790" w:rsidRDefault="009673BF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the revised manuscript has been modified.</w:t>
            </w:r>
          </w:p>
          <w:p w:rsidR="009673BF" w:rsidRPr="009E5AB6" w:rsidRDefault="009673BF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90" w:rsidRPr="009E5AB6" w:rsidRDefault="009673BF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Due to the insufficiency of hygienic practices data among the school age children in Bangladesh, we were unable to input related information in our introduction section.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Is there any reason for choosing </w:t>
            </w:r>
            <w:proofErr w:type="spell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Jahangirnagar</w:t>
            </w:r>
            <w:proofErr w:type="spell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 School? Why age 6-12 was chosen?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A80790" w:rsidRDefault="009673BF" w:rsidP="0096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Jahangirnagar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School had been selected as our study place because of the heterogeneous background of the sample</w:t>
            </w:r>
            <w:r w:rsidR="0036210A">
              <w:rPr>
                <w:rFonts w:ascii="Times New Roman" w:hAnsi="Times New Roman" w:cs="Times New Roman"/>
                <w:sz w:val="24"/>
                <w:szCs w:val="24"/>
              </w:rPr>
              <w:t xml:space="preserve"> to generalize the findings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73BF" w:rsidRDefault="009673BF" w:rsidP="0096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3BF" w:rsidRPr="009E5AB6" w:rsidRDefault="009673BF" w:rsidP="009673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that school, students from all economic classes are studying which is to say</w:t>
            </w:r>
            <w:r w:rsidR="003621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students from labor economic class family to highly educated and </w:t>
            </w:r>
            <w:r w:rsidR="0036210A">
              <w:rPr>
                <w:rFonts w:ascii="Times New Roman" w:hAnsi="Times New Roman" w:cs="Times New Roman"/>
                <w:sz w:val="24"/>
                <w:szCs w:val="24"/>
              </w:rPr>
              <w:t xml:space="preserve">supreme economic class family are there.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4) Was consent collected from parents of children, if not why?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A80790" w:rsidRPr="009E5AB6" w:rsidRDefault="00A80790" w:rsidP="00335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10A">
              <w:rPr>
                <w:rFonts w:ascii="Times New Roman" w:hAnsi="Times New Roman" w:cs="Times New Roman"/>
                <w:sz w:val="24"/>
                <w:szCs w:val="24"/>
              </w:rPr>
              <w:t xml:space="preserve">Yes, before drawing the simple random sampling for interviewing, </w:t>
            </w:r>
            <w:r w:rsidR="0036210A" w:rsidRPr="0036210A">
              <w:rPr>
                <w:rFonts w:ascii="Times New Roman" w:hAnsi="Times New Roman" w:cs="Times New Roman"/>
                <w:sz w:val="24"/>
                <w:szCs w:val="24"/>
              </w:rPr>
              <w:t xml:space="preserve">we </w:t>
            </w:r>
            <w:r w:rsidR="0036210A">
              <w:rPr>
                <w:rFonts w:ascii="Times New Roman" w:hAnsi="Times New Roman" w:cs="Times New Roman"/>
                <w:sz w:val="24"/>
                <w:szCs w:val="24"/>
              </w:rPr>
              <w:t xml:space="preserve">disseminated a notice through the school authority to the students to talk to their legal guardians (parents) </w:t>
            </w:r>
            <w:r w:rsidR="00335458">
              <w:rPr>
                <w:rFonts w:ascii="Times New Roman" w:hAnsi="Times New Roman" w:cs="Times New Roman"/>
                <w:sz w:val="24"/>
                <w:szCs w:val="24"/>
              </w:rPr>
              <w:t>about the study. Based on guardians consent s</w:t>
            </w:r>
            <w:r w:rsidR="0036210A" w:rsidRPr="0036210A">
              <w:rPr>
                <w:rFonts w:ascii="Times New Roman" w:hAnsi="Times New Roman" w:cs="Times New Roman"/>
                <w:sz w:val="24"/>
                <w:szCs w:val="24"/>
              </w:rPr>
              <w:t>tudents showed their intere</w:t>
            </w:r>
            <w:r w:rsidR="00335458">
              <w:rPr>
                <w:rFonts w:ascii="Times New Roman" w:hAnsi="Times New Roman" w:cs="Times New Roman"/>
                <w:sz w:val="24"/>
                <w:szCs w:val="24"/>
              </w:rPr>
              <w:t>st to participate in the study.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5) Mother and father occupation must be similarly categorized (Table 3)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A80790" w:rsidRDefault="002A0D28" w:rsidP="002A0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Bangladesh, there has a difference in parents’ occupations.   Typically, mothers are involved in household activities, while fathers are in outdoor activities. </w:t>
            </w:r>
          </w:p>
          <w:p w:rsidR="002A0D28" w:rsidRDefault="002A0D28" w:rsidP="002A0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28" w:rsidRPr="009E5AB6" w:rsidRDefault="002A0D28" w:rsidP="002A0D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Despite these differences, we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recategorized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parents’ occupation </w:t>
            </w:r>
            <w:r w:rsidR="00182A72">
              <w:rPr>
                <w:rFonts w:ascii="Times New Roman" w:hAnsi="Times New Roman" w:cs="Times New Roman"/>
                <w:sz w:val="24"/>
                <w:szCs w:val="24"/>
              </w:rPr>
              <w:t xml:space="preserve">in this revised manuscript.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2C3676" w:rsidRDefault="00A80790" w:rsidP="002C36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Is there clinical difference between taking five items </w:t>
            </w:r>
            <w:proofErr w:type="spellStart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v.s</w:t>
            </w:r>
            <w:proofErr w:type="spellEnd"/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>. six items or seven items? Maybe less categories are needed? (Table 3 and 4)</w:t>
            </w:r>
          </w:p>
          <w:p w:rsidR="00A80790" w:rsidRPr="009E5AB6" w:rsidRDefault="00A80790" w:rsidP="002C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8" w:type="dxa"/>
          </w:tcPr>
          <w:p w:rsidR="00182A72" w:rsidRDefault="00182A72" w:rsidP="001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apologize for our misrepresentation in the manuscript. </w:t>
            </w:r>
          </w:p>
          <w:p w:rsidR="00182A72" w:rsidRDefault="00182A72" w:rsidP="001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A72" w:rsidRDefault="00182A72" w:rsidP="001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Instead of food items, it will be the n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umber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aily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ntake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>imes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2A72" w:rsidRDefault="00182A72" w:rsidP="001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790" w:rsidRPr="009E5AB6" w:rsidRDefault="00182A72" w:rsidP="0018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was also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recategorized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634">
              <w:rPr>
                <w:rFonts w:ascii="Times New Roman" w:hAnsi="Times New Roman" w:cs="Times New Roman"/>
                <w:sz w:val="24"/>
                <w:szCs w:val="24"/>
              </w:rPr>
              <w:t xml:space="preserve">in this revised manuscript.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0790" w:rsidRPr="009E5AB6" w:rsidTr="002C3676">
        <w:tc>
          <w:tcPr>
            <w:tcW w:w="512" w:type="dxa"/>
            <w:vMerge/>
          </w:tcPr>
          <w:p w:rsidR="00A80790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A80790" w:rsidRPr="009E5AB6" w:rsidRDefault="00A80790" w:rsidP="000E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</w:t>
            </w:r>
            <w:bookmarkStart w:id="0" w:name="_GoBack"/>
            <w:r w:rsidRPr="000E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grammatical mistakes here and there </w:t>
            </w:r>
            <w:bookmarkEnd w:id="0"/>
          </w:p>
        </w:tc>
        <w:tc>
          <w:tcPr>
            <w:tcW w:w="5598" w:type="dxa"/>
          </w:tcPr>
          <w:p w:rsidR="00A80790" w:rsidRPr="009E5AB6" w:rsidRDefault="000E4D75" w:rsidP="00233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authors thoroughly checked the whole manuscript for grammatical mistakes and corrected all the mistake in the revised manuscript.</w:t>
            </w:r>
          </w:p>
        </w:tc>
      </w:tr>
      <w:tr w:rsidR="002C3676" w:rsidRPr="009E5AB6" w:rsidTr="00D35663">
        <w:tc>
          <w:tcPr>
            <w:tcW w:w="9576" w:type="dxa"/>
            <w:gridSpan w:val="3"/>
          </w:tcPr>
          <w:p w:rsidR="002C3676" w:rsidRPr="009E5AB6" w:rsidRDefault="002C3676" w:rsidP="0032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B4E" w:rsidRPr="009E5AB6" w:rsidTr="002C3676">
        <w:tc>
          <w:tcPr>
            <w:tcW w:w="512" w:type="dxa"/>
          </w:tcPr>
          <w:p w:rsidR="00D35B4E" w:rsidRPr="009E5AB6" w:rsidRDefault="002C3676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6" w:type="dxa"/>
          </w:tcPr>
          <w:p w:rsidR="00D35B4E" w:rsidRPr="009E5AB6" w:rsidRDefault="002C3676" w:rsidP="009E5AB6">
            <w:pPr>
              <w:pStyle w:val="Commen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76">
              <w:rPr>
                <w:rFonts w:ascii="Times New Roman" w:hAnsi="Times New Roman" w:cs="Times New Roman"/>
                <w:sz w:val="24"/>
                <w:szCs w:val="24"/>
              </w:rPr>
              <w:t>What do they mean?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</w:tcPr>
          <w:p w:rsidR="00D35B4E" w:rsidRPr="009E5AB6" w:rsidRDefault="00917634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have changed the title the manuscript. </w:t>
            </w:r>
            <w:r w:rsidR="00327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8F0" w:rsidRPr="009E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4EA" w:rsidRPr="009E5AB6" w:rsidTr="002C3676">
        <w:tc>
          <w:tcPr>
            <w:tcW w:w="512" w:type="dxa"/>
          </w:tcPr>
          <w:p w:rsidR="002874EA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6" w:type="dxa"/>
          </w:tcPr>
          <w:p w:rsidR="00A80790" w:rsidRPr="00A80790" w:rsidRDefault="00A80790" w:rsidP="00A807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indicate if you designed the survey yourself. </w:t>
            </w:r>
          </w:p>
          <w:p w:rsidR="002874EA" w:rsidRPr="009E5AB6" w:rsidRDefault="00A80790" w:rsidP="00A807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eastAsia="Times New Roman" w:hAnsi="Times New Roman" w:cs="Times New Roman"/>
                <w:sz w:val="24"/>
                <w:szCs w:val="24"/>
              </w:rPr>
              <w:t>Is survey available online somewhere? It would be nice to have a URL pointing to the survey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</w:tcPr>
          <w:p w:rsidR="00917634" w:rsidRDefault="00917634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have designed questionnaire for conducting the study. </w:t>
            </w:r>
          </w:p>
          <w:p w:rsidR="00917634" w:rsidRDefault="00917634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EA" w:rsidRPr="009E5AB6" w:rsidRDefault="00917634" w:rsidP="00917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questionnaire has been attached with the revised manuscript.    </w:t>
            </w:r>
            <w:r w:rsidR="00762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74EA" w:rsidRPr="009E5AB6" w:rsidTr="002C3676">
        <w:tc>
          <w:tcPr>
            <w:tcW w:w="512" w:type="dxa"/>
          </w:tcPr>
          <w:p w:rsidR="002874EA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6" w:type="dxa"/>
          </w:tcPr>
          <w:p w:rsidR="002874EA" w:rsidRPr="00A80790" w:rsidRDefault="00A80790" w:rsidP="009E5A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</w:rPr>
              <w:t xml:space="preserve">Please see the comments in the tables section below! </w:t>
            </w:r>
          </w:p>
        </w:tc>
        <w:tc>
          <w:tcPr>
            <w:tcW w:w="5598" w:type="dxa"/>
          </w:tcPr>
          <w:p w:rsidR="00D35B4E" w:rsidRPr="009E5AB6" w:rsidRDefault="00917634" w:rsidP="0056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Major correction in the statistical analysis has been performed in this revised manuscript according to your instructions.  </w:t>
            </w:r>
            <w:r w:rsidR="00564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B4E" w:rsidRPr="009E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115" w:rsidRPr="009E5AB6" w:rsidTr="002C3676">
        <w:tc>
          <w:tcPr>
            <w:tcW w:w="512" w:type="dxa"/>
          </w:tcPr>
          <w:p w:rsidR="00CC6115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6" w:type="dxa"/>
          </w:tcPr>
          <w:p w:rsidR="00CC6115" w:rsidRPr="00A80790" w:rsidRDefault="00A80790" w:rsidP="009E5A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</w:rPr>
              <w:t xml:space="preserve">Ungrounded conclusion </w:t>
            </w:r>
          </w:p>
        </w:tc>
        <w:tc>
          <w:tcPr>
            <w:tcW w:w="5598" w:type="dxa"/>
          </w:tcPr>
          <w:p w:rsidR="00917634" w:rsidRDefault="00917634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Taking the suggestions, we have changed ungrounded sentences.  </w:t>
            </w:r>
          </w:p>
          <w:p w:rsidR="00CC6115" w:rsidRDefault="00CC6115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34" w:rsidRPr="009E5AB6" w:rsidRDefault="00917634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15" w:rsidRPr="009E5AB6" w:rsidTr="002C3676">
        <w:tc>
          <w:tcPr>
            <w:tcW w:w="512" w:type="dxa"/>
          </w:tcPr>
          <w:p w:rsidR="00CC6115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6" w:type="dxa"/>
          </w:tcPr>
          <w:p w:rsidR="00CC6115" w:rsidRPr="009E5AB6" w:rsidRDefault="00A80790" w:rsidP="009E5A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eastAsia="Times New Roman" w:hAnsi="Times New Roman" w:cs="Times New Roman"/>
                <w:sz w:val="24"/>
                <w:szCs w:val="24"/>
              </w:rPr>
              <w:t>Need to find scientific term for this</w:t>
            </w:r>
          </w:p>
        </w:tc>
        <w:tc>
          <w:tcPr>
            <w:tcW w:w="5598" w:type="dxa"/>
          </w:tcPr>
          <w:p w:rsidR="00917634" w:rsidRDefault="00917634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apologize for our misrepresentation in the manuscript. </w:t>
            </w:r>
          </w:p>
          <w:p w:rsidR="00917634" w:rsidRDefault="00917634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34" w:rsidRPr="009E5AB6" w:rsidRDefault="00917634" w:rsidP="00762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Instead of food items, it will be the n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umber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aily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 xml:space="preserve">ntake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82A72">
              <w:rPr>
                <w:rFonts w:ascii="Times New Roman" w:hAnsi="Times New Roman" w:cs="Times New Roman"/>
                <w:sz w:val="24"/>
                <w:szCs w:val="24"/>
              </w:rPr>
              <w:t>imes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C6115" w:rsidRPr="009E5AB6" w:rsidTr="002C3676">
        <w:tc>
          <w:tcPr>
            <w:tcW w:w="512" w:type="dxa"/>
          </w:tcPr>
          <w:p w:rsidR="00CC6115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6" w:type="dxa"/>
          </w:tcPr>
          <w:p w:rsidR="00CC6115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This is not a longitudinal study, so the weight did not “decline”. Need to indicate that it was “lower” or “higher” in various groups.</w:t>
            </w:r>
          </w:p>
        </w:tc>
        <w:tc>
          <w:tcPr>
            <w:tcW w:w="5598" w:type="dxa"/>
          </w:tcPr>
          <w:p w:rsidR="00917634" w:rsidRDefault="00DF5ECF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115" w:rsidRPr="009E5AB6" w:rsidRDefault="00917634" w:rsidP="0091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Taking your suggestion, sentence has been modified. </w:t>
            </w:r>
          </w:p>
        </w:tc>
      </w:tr>
      <w:tr w:rsidR="009E5AB6" w:rsidRPr="009E5AB6" w:rsidTr="002C3676">
        <w:tc>
          <w:tcPr>
            <w:tcW w:w="512" w:type="dxa"/>
          </w:tcPr>
          <w:p w:rsidR="009E5AB6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6" w:type="dxa"/>
          </w:tcPr>
          <w:p w:rsidR="009E5AB6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 xml:space="preserve">Perhaps it is more appropriate to say that it followed “standard operating procedures with uniform methodology for data </w:t>
            </w:r>
            <w:proofErr w:type="spellStart"/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colletion</w:t>
            </w:r>
            <w:proofErr w:type="spellEnd"/>
            <w:r w:rsidRPr="00A80790">
              <w:rPr>
                <w:rFonts w:ascii="Times New Roman" w:hAnsi="Times New Roman" w:cs="Times New Roman"/>
                <w:sz w:val="24"/>
                <w:szCs w:val="24"/>
              </w:rPr>
              <w:t xml:space="preserve"> from all </w:t>
            </w:r>
            <w:proofErr w:type="spellStart"/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particiapnts</w:t>
            </w:r>
            <w:proofErr w:type="spellEnd"/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?”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AB6" w:rsidRPr="009E5AB6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Taking your suggestion, sentence has been modified.</w:t>
            </w:r>
          </w:p>
        </w:tc>
      </w:tr>
      <w:tr w:rsidR="009E5AB6" w:rsidRPr="009E5AB6" w:rsidTr="002C3676">
        <w:tc>
          <w:tcPr>
            <w:tcW w:w="512" w:type="dxa"/>
          </w:tcPr>
          <w:p w:rsidR="009E5AB6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6" w:type="dxa"/>
          </w:tcPr>
          <w:p w:rsidR="009E5AB6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This is where you need to describe how your university based school is different from other schools in other regions. Are they comparable?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</w:tcPr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Jahangirnagar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School had been selected as our study place because of the heterogeneous background of the sample to generalize the findings. </w:t>
            </w: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AB6" w:rsidRPr="009E5AB6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that school, students from all economic classes are studying which is to say, students from labor economic class family to highly educated and supreme economic class family are there.    </w:t>
            </w:r>
          </w:p>
        </w:tc>
      </w:tr>
      <w:tr w:rsidR="009E5AB6" w:rsidRPr="009E5AB6" w:rsidTr="002C3676">
        <w:tc>
          <w:tcPr>
            <w:tcW w:w="512" w:type="dxa"/>
          </w:tcPr>
          <w:p w:rsidR="009E5AB6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6" w:type="dxa"/>
          </w:tcPr>
          <w:p w:rsidR="009E5AB6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 xml:space="preserve">I think this is a little bit of an over statement. Perhaps list specific complications such as low birth baby, premature labor, </w:t>
            </w:r>
            <w:proofErr w:type="spellStart"/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98" w:type="dxa"/>
          </w:tcPr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Taking the suggestions, we have changed ungrounded sentences.  </w:t>
            </w:r>
          </w:p>
          <w:p w:rsidR="009E5AB6" w:rsidRPr="009E5AB6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AB6" w:rsidRPr="009E5AB6" w:rsidTr="002C3676">
        <w:tc>
          <w:tcPr>
            <w:tcW w:w="512" w:type="dxa"/>
          </w:tcPr>
          <w:p w:rsidR="009E5AB6" w:rsidRPr="009E5AB6" w:rsidRDefault="00A80790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66" w:type="dxa"/>
          </w:tcPr>
          <w:p w:rsidR="009E5AB6" w:rsidRPr="009E5AB6" w:rsidRDefault="00A80790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So, this is a little bit of overstatement. Your study showed that this particular school has underweight children.</w:t>
            </w:r>
          </w:p>
        </w:tc>
        <w:tc>
          <w:tcPr>
            <w:tcW w:w="5598" w:type="dxa"/>
          </w:tcPr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Taking the suggestions, we have changed ungrounded sentences.   </w:t>
            </w:r>
          </w:p>
          <w:p w:rsidR="009E5AB6" w:rsidRPr="009E5AB6" w:rsidRDefault="00DF5ECF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1E2" w:rsidRPr="009E5AB6" w:rsidTr="002C3676">
        <w:tc>
          <w:tcPr>
            <w:tcW w:w="512" w:type="dxa"/>
          </w:tcPr>
          <w:p w:rsidR="009E41E2" w:rsidRPr="009E5AB6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Please get rid of 0 in the cells and redo the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  <w:vMerge w:val="restart"/>
          </w:tcPr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Major correction in the statistical analysis has been performed in this revised manuscript according to your instructions.   </w:t>
            </w:r>
            <w:r w:rsidRPr="009E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9E41E2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E2" w:rsidRDefault="005566BB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tried our best to get rid of 0 in the cells. </w:t>
            </w:r>
            <w:r w:rsidR="009E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6BB" w:rsidRDefault="005566BB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BB" w:rsidRDefault="005566BB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BB" w:rsidRDefault="005566BB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BB" w:rsidRPr="009E5AB6" w:rsidRDefault="005566BB" w:rsidP="009E4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Following the guidelines provided by the CDC, we measured </w:t>
            </w:r>
            <w:r w:rsidRPr="00752E20">
              <w:rPr>
                <w:rFonts w:ascii="Times New Roman" w:hAnsi="Times New Roman" w:cs="Times New Roman"/>
                <w:sz w:val="24"/>
                <w:szCs w:val="24"/>
              </w:rPr>
              <w:t xml:space="preserve">BMI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52E20">
              <w:rPr>
                <w:rFonts w:ascii="Times New Roman" w:hAnsi="Times New Roman" w:cs="Times New Roman"/>
                <w:sz w:val="24"/>
                <w:szCs w:val="24"/>
              </w:rPr>
              <w:t xml:space="preserve">ercentile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52E20">
              <w:rPr>
                <w:rFonts w:ascii="Times New Roman" w:hAnsi="Times New Roman" w:cs="Times New Roman"/>
                <w:sz w:val="24"/>
                <w:szCs w:val="24"/>
              </w:rPr>
              <w:t>ategories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performed the analysis newly.   </w:t>
            </w: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0 in a cell can make the results of your analysis invalid. Please include overweight into the healthy weight and compare underweight and healthy weight for all the variables: age, sex, birth order and etc.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Again, 0 can lead your analysis to false conclusions, redo the analysis using less occupation categories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Make fathers’ occupation have the same categories as mothers. Again, 0 and 1 might lead you to false conclusions. You need to include smaller numbers into other categories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Again, redo the calculations using the same categories as in the table 2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What is the clinical difference between these categories? Maybe you can include less, e.g. 2, 3, 4, 5 and more.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Please redo the analysis if you have changed categories according to table 3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Get rid of 0 please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E2" w:rsidRPr="009E5AB6" w:rsidTr="002C3676">
        <w:tc>
          <w:tcPr>
            <w:tcW w:w="512" w:type="dxa"/>
          </w:tcPr>
          <w:p w:rsidR="009E41E2" w:rsidRDefault="009E41E2" w:rsidP="000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6" w:type="dxa"/>
          </w:tcPr>
          <w:p w:rsidR="009E41E2" w:rsidRPr="00C64F5C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790">
              <w:rPr>
                <w:rFonts w:ascii="Times New Roman" w:hAnsi="Times New Roman" w:cs="Times New Roman"/>
                <w:sz w:val="24"/>
                <w:szCs w:val="24"/>
              </w:rPr>
              <w:t>Consider  combining overweight and healthy weight into one group for the purpose of statistical analysis</w:t>
            </w:r>
          </w:p>
        </w:tc>
        <w:tc>
          <w:tcPr>
            <w:tcW w:w="5598" w:type="dxa"/>
            <w:vMerge/>
          </w:tcPr>
          <w:p w:rsidR="009E41E2" w:rsidRDefault="009E41E2" w:rsidP="009E5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8F7" w:rsidRDefault="002B48F7">
      <w:pPr>
        <w:rPr>
          <w:rFonts w:ascii="Times New Roman" w:hAnsi="Times New Roman" w:cs="Times New Roman"/>
          <w:sz w:val="24"/>
          <w:szCs w:val="24"/>
        </w:rPr>
      </w:pPr>
    </w:p>
    <w:sectPr w:rsidR="002B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D"/>
    <w:rsid w:val="00027FFC"/>
    <w:rsid w:val="00034463"/>
    <w:rsid w:val="0003493D"/>
    <w:rsid w:val="0004215A"/>
    <w:rsid w:val="00062761"/>
    <w:rsid w:val="00071FF6"/>
    <w:rsid w:val="000A5122"/>
    <w:rsid w:val="000B1F16"/>
    <w:rsid w:val="000E4D75"/>
    <w:rsid w:val="000E5C41"/>
    <w:rsid w:val="000F13CC"/>
    <w:rsid w:val="0011279B"/>
    <w:rsid w:val="001625DD"/>
    <w:rsid w:val="00182A72"/>
    <w:rsid w:val="001F41E9"/>
    <w:rsid w:val="00233442"/>
    <w:rsid w:val="00254F2D"/>
    <w:rsid w:val="002874EA"/>
    <w:rsid w:val="002A0D28"/>
    <w:rsid w:val="002B24B8"/>
    <w:rsid w:val="002B48F7"/>
    <w:rsid w:val="002C3676"/>
    <w:rsid w:val="00322546"/>
    <w:rsid w:val="00327DA3"/>
    <w:rsid w:val="00335458"/>
    <w:rsid w:val="0034505E"/>
    <w:rsid w:val="0036210A"/>
    <w:rsid w:val="00367329"/>
    <w:rsid w:val="00370AF0"/>
    <w:rsid w:val="00382FD9"/>
    <w:rsid w:val="0039372C"/>
    <w:rsid w:val="003956BA"/>
    <w:rsid w:val="003A131C"/>
    <w:rsid w:val="003A297C"/>
    <w:rsid w:val="003D73C4"/>
    <w:rsid w:val="00411D77"/>
    <w:rsid w:val="004138B2"/>
    <w:rsid w:val="00493E9E"/>
    <w:rsid w:val="004A3B52"/>
    <w:rsid w:val="004B4550"/>
    <w:rsid w:val="004C0D0E"/>
    <w:rsid w:val="004E7209"/>
    <w:rsid w:val="004F5CBF"/>
    <w:rsid w:val="00513DAE"/>
    <w:rsid w:val="00524CF1"/>
    <w:rsid w:val="005566BB"/>
    <w:rsid w:val="005648CC"/>
    <w:rsid w:val="005A37E0"/>
    <w:rsid w:val="00626B50"/>
    <w:rsid w:val="006545BD"/>
    <w:rsid w:val="00702129"/>
    <w:rsid w:val="0071369F"/>
    <w:rsid w:val="00722675"/>
    <w:rsid w:val="00727CEC"/>
    <w:rsid w:val="00752E20"/>
    <w:rsid w:val="00762734"/>
    <w:rsid w:val="00791DF5"/>
    <w:rsid w:val="00792412"/>
    <w:rsid w:val="007B1CAB"/>
    <w:rsid w:val="007C73B6"/>
    <w:rsid w:val="007D78BB"/>
    <w:rsid w:val="007E4636"/>
    <w:rsid w:val="00806EFF"/>
    <w:rsid w:val="0082691A"/>
    <w:rsid w:val="0086562B"/>
    <w:rsid w:val="00886C06"/>
    <w:rsid w:val="00887D3E"/>
    <w:rsid w:val="00890A93"/>
    <w:rsid w:val="008911DB"/>
    <w:rsid w:val="008A5ACB"/>
    <w:rsid w:val="009119B2"/>
    <w:rsid w:val="00917634"/>
    <w:rsid w:val="0094508C"/>
    <w:rsid w:val="009673BF"/>
    <w:rsid w:val="009A4FC0"/>
    <w:rsid w:val="009D6A25"/>
    <w:rsid w:val="009D7D1E"/>
    <w:rsid w:val="009E41E2"/>
    <w:rsid w:val="009E5AB6"/>
    <w:rsid w:val="00A04C22"/>
    <w:rsid w:val="00A15DFF"/>
    <w:rsid w:val="00A80790"/>
    <w:rsid w:val="00AE54D6"/>
    <w:rsid w:val="00B406AA"/>
    <w:rsid w:val="00B64B56"/>
    <w:rsid w:val="00BA2024"/>
    <w:rsid w:val="00C22FEB"/>
    <w:rsid w:val="00C3210D"/>
    <w:rsid w:val="00C4499D"/>
    <w:rsid w:val="00C5020D"/>
    <w:rsid w:val="00C638F0"/>
    <w:rsid w:val="00C64F5C"/>
    <w:rsid w:val="00C72D2E"/>
    <w:rsid w:val="00CC6115"/>
    <w:rsid w:val="00D222E7"/>
    <w:rsid w:val="00D35B4E"/>
    <w:rsid w:val="00D433E3"/>
    <w:rsid w:val="00D90428"/>
    <w:rsid w:val="00DD1778"/>
    <w:rsid w:val="00DF18A2"/>
    <w:rsid w:val="00DF5763"/>
    <w:rsid w:val="00DF5ECF"/>
    <w:rsid w:val="00E06CFD"/>
    <w:rsid w:val="00E1461B"/>
    <w:rsid w:val="00E314A7"/>
    <w:rsid w:val="00E558DD"/>
    <w:rsid w:val="00E57C8B"/>
    <w:rsid w:val="00E57EBB"/>
    <w:rsid w:val="00E65DF8"/>
    <w:rsid w:val="00E74BCC"/>
    <w:rsid w:val="00E814CF"/>
    <w:rsid w:val="00E820F9"/>
    <w:rsid w:val="00E90B7B"/>
    <w:rsid w:val="00ED2482"/>
    <w:rsid w:val="00F01D32"/>
    <w:rsid w:val="00F17DAE"/>
    <w:rsid w:val="00F2223B"/>
    <w:rsid w:val="00F228CA"/>
    <w:rsid w:val="00F52AE6"/>
    <w:rsid w:val="00F74184"/>
    <w:rsid w:val="00F95321"/>
    <w:rsid w:val="00FA30BD"/>
    <w:rsid w:val="00FC21D6"/>
    <w:rsid w:val="00FE1347"/>
    <w:rsid w:val="00FE4498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C18E2-9B1C-4868-98C2-0DFA2E84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4CF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7418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18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Shahadat Hossain</dc:creator>
  <cp:keywords/>
  <dc:description/>
  <cp:lastModifiedBy>user</cp:lastModifiedBy>
  <cp:revision>3</cp:revision>
  <dcterms:created xsi:type="dcterms:W3CDTF">2017-05-12T05:39:00Z</dcterms:created>
  <dcterms:modified xsi:type="dcterms:W3CDTF">2017-05-12T05:58:00Z</dcterms:modified>
</cp:coreProperties>
</file>